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D862" w14:textId="7B9DFA93" w:rsidR="0041061F" w:rsidRPr="00B44B71" w:rsidRDefault="00FA56CD" w:rsidP="0041061F">
      <w:pPr>
        <w:jc w:val="both"/>
        <w:rPr>
          <w:rFonts w:asciiTheme="majorHAnsi" w:hAnsiTheme="majorHAnsi"/>
          <w:b w:val="0"/>
          <w:sz w:val="22"/>
          <w:lang w:val="en-US"/>
        </w:rPr>
      </w:pPr>
      <w:r>
        <w:rPr>
          <w:rFonts w:asciiTheme="majorHAnsi" w:hAnsiTheme="majorHAnsi"/>
          <w:b w:val="0"/>
          <w:sz w:val="22"/>
          <w:lang w:val="en-US"/>
        </w:rPr>
        <w:t xml:space="preserve">BİLGİ ÜNİVERSİTESİ BUS 442 BÜTÜNLEME EXAM June 2018 </w:t>
      </w:r>
    </w:p>
    <w:p w14:paraId="31ACADAC" w14:textId="77777777" w:rsidR="00FA56CD" w:rsidRDefault="00FA56CD" w:rsidP="0041061F">
      <w:pPr>
        <w:jc w:val="both"/>
        <w:rPr>
          <w:rFonts w:asciiTheme="majorHAnsi" w:hAnsiTheme="majorHAnsi"/>
          <w:b w:val="0"/>
          <w:sz w:val="22"/>
          <w:lang w:val="en-US"/>
        </w:rPr>
      </w:pPr>
    </w:p>
    <w:p w14:paraId="648CF2AE" w14:textId="69939A5A" w:rsidR="0041061F" w:rsidRDefault="00FA56CD" w:rsidP="0041061F">
      <w:pPr>
        <w:jc w:val="both"/>
        <w:rPr>
          <w:rFonts w:asciiTheme="majorHAnsi" w:hAnsiTheme="majorHAnsi"/>
          <w:b w:val="0"/>
          <w:sz w:val="22"/>
          <w:lang w:val="en-US"/>
        </w:rPr>
      </w:pPr>
      <w:r>
        <w:rPr>
          <w:rFonts w:asciiTheme="majorHAnsi" w:hAnsiTheme="majorHAnsi"/>
          <w:b w:val="0"/>
          <w:sz w:val="22"/>
          <w:lang w:val="en-US"/>
        </w:rPr>
        <w:t xml:space="preserve">Q(1) </w:t>
      </w:r>
      <w:r>
        <w:rPr>
          <w:rFonts w:asciiTheme="majorHAnsi" w:hAnsiTheme="majorHAnsi"/>
          <w:b w:val="0"/>
          <w:sz w:val="22"/>
          <w:szCs w:val="20"/>
          <w:lang w:val="en-US"/>
        </w:rPr>
        <w:t>(25 marks)</w:t>
      </w:r>
      <w:r>
        <w:rPr>
          <w:rFonts w:asciiTheme="majorHAnsi" w:hAnsiTheme="majorHAnsi"/>
          <w:b w:val="0"/>
          <w:sz w:val="22"/>
          <w:szCs w:val="20"/>
          <w:lang w:val="en-US"/>
        </w:rPr>
        <w:t xml:space="preserve"> Explain in detail 6 different types of Interest Risks banks have to manage.</w:t>
      </w:r>
    </w:p>
    <w:p w14:paraId="636371CC" w14:textId="77777777" w:rsidR="00FA56CD" w:rsidRDefault="00FA56CD" w:rsidP="0041061F">
      <w:pPr>
        <w:jc w:val="both"/>
        <w:rPr>
          <w:rFonts w:asciiTheme="majorHAnsi" w:hAnsiTheme="majorHAnsi"/>
          <w:b w:val="0"/>
          <w:sz w:val="22"/>
          <w:lang w:val="en-US"/>
        </w:rPr>
      </w:pPr>
    </w:p>
    <w:p w14:paraId="028AEADF" w14:textId="77E7E71A" w:rsidR="00FA56CD" w:rsidRDefault="00FA56CD" w:rsidP="0041061F">
      <w:pPr>
        <w:jc w:val="both"/>
        <w:rPr>
          <w:rFonts w:asciiTheme="majorHAnsi" w:hAnsiTheme="majorHAnsi"/>
          <w:b w:val="0"/>
          <w:sz w:val="22"/>
          <w:lang w:val="en-US"/>
        </w:rPr>
      </w:pPr>
      <w:r>
        <w:rPr>
          <w:rFonts w:asciiTheme="majorHAnsi" w:hAnsiTheme="majorHAnsi"/>
          <w:b w:val="0"/>
          <w:sz w:val="22"/>
          <w:lang w:val="en-US"/>
        </w:rPr>
        <w:t xml:space="preserve">Q(2) </w:t>
      </w:r>
      <w:r>
        <w:rPr>
          <w:rFonts w:asciiTheme="majorHAnsi" w:hAnsiTheme="majorHAnsi"/>
          <w:b w:val="0"/>
          <w:sz w:val="22"/>
          <w:szCs w:val="20"/>
          <w:lang w:val="en-US"/>
        </w:rPr>
        <w:t>(25 marks)</w:t>
      </w:r>
      <w:r>
        <w:rPr>
          <w:rFonts w:asciiTheme="majorHAnsi" w:hAnsiTheme="majorHAnsi"/>
          <w:b w:val="0"/>
          <w:sz w:val="22"/>
          <w:szCs w:val="20"/>
          <w:lang w:val="en-US"/>
        </w:rPr>
        <w:t xml:space="preserve"> Explain in detail the Base II Capital Adequacy Requirement &amp; its Ratio.</w:t>
      </w:r>
    </w:p>
    <w:p w14:paraId="70368B84" w14:textId="77777777" w:rsidR="00FA56CD" w:rsidRDefault="00FA56CD" w:rsidP="0041061F">
      <w:pPr>
        <w:jc w:val="both"/>
        <w:rPr>
          <w:rFonts w:asciiTheme="majorHAnsi" w:hAnsiTheme="majorHAnsi"/>
          <w:b w:val="0"/>
          <w:sz w:val="22"/>
          <w:lang w:val="en-US"/>
        </w:rPr>
      </w:pPr>
    </w:p>
    <w:p w14:paraId="149AE08F" w14:textId="03E1C0D3" w:rsidR="00FA56CD" w:rsidRDefault="00FA56CD" w:rsidP="0041061F">
      <w:pPr>
        <w:jc w:val="both"/>
        <w:rPr>
          <w:rFonts w:asciiTheme="majorHAnsi" w:hAnsiTheme="majorHAnsi"/>
          <w:b w:val="0"/>
          <w:sz w:val="22"/>
          <w:szCs w:val="20"/>
          <w:lang w:val="en-US"/>
        </w:rPr>
      </w:pPr>
      <w:r>
        <w:rPr>
          <w:rFonts w:asciiTheme="majorHAnsi" w:hAnsiTheme="majorHAnsi"/>
          <w:b w:val="0"/>
          <w:sz w:val="22"/>
          <w:lang w:val="en-US"/>
        </w:rPr>
        <w:t xml:space="preserve">Q(3) </w:t>
      </w:r>
      <w:r>
        <w:rPr>
          <w:rFonts w:asciiTheme="majorHAnsi" w:hAnsiTheme="majorHAnsi"/>
          <w:b w:val="0"/>
          <w:sz w:val="22"/>
          <w:szCs w:val="20"/>
          <w:lang w:val="en-US"/>
        </w:rPr>
        <w:t>(25 marks)</w:t>
      </w:r>
      <w:r>
        <w:rPr>
          <w:rFonts w:asciiTheme="majorHAnsi" w:hAnsiTheme="majorHAnsi"/>
          <w:b w:val="0"/>
          <w:sz w:val="22"/>
          <w:szCs w:val="20"/>
          <w:lang w:val="en-US"/>
        </w:rPr>
        <w:t xml:space="preserve"> Explain in detail what a bank should do in order to minimize its NPL (Non-</w:t>
      </w:r>
      <w:bookmarkStart w:id="0" w:name="_GoBack"/>
      <w:bookmarkEnd w:id="0"/>
      <w:r>
        <w:rPr>
          <w:rFonts w:asciiTheme="majorHAnsi" w:hAnsiTheme="majorHAnsi"/>
          <w:b w:val="0"/>
          <w:sz w:val="22"/>
          <w:szCs w:val="20"/>
          <w:lang w:val="en-US"/>
        </w:rPr>
        <w:t>Performing Loans)</w:t>
      </w:r>
    </w:p>
    <w:p w14:paraId="17627B23" w14:textId="77777777" w:rsidR="00FA56CD" w:rsidRPr="00B44B71" w:rsidRDefault="00FA56CD" w:rsidP="0041061F">
      <w:pPr>
        <w:jc w:val="both"/>
        <w:rPr>
          <w:rFonts w:asciiTheme="majorHAnsi" w:hAnsiTheme="majorHAnsi"/>
          <w:b w:val="0"/>
          <w:sz w:val="22"/>
          <w:lang w:val="en-US"/>
        </w:rPr>
      </w:pPr>
    </w:p>
    <w:tbl>
      <w:tblPr>
        <w:tblpPr w:leftFromText="141" w:rightFromText="141" w:vertAnchor="text" w:horzAnchor="margin" w:tblpXSpec="center" w:tblpY="1213"/>
        <w:tblW w:w="6626" w:type="dxa"/>
        <w:tblCellMar>
          <w:left w:w="70" w:type="dxa"/>
          <w:right w:w="70" w:type="dxa"/>
        </w:tblCellMar>
        <w:tblLook w:val="04A0" w:firstRow="1" w:lastRow="0" w:firstColumn="1" w:lastColumn="0" w:noHBand="0" w:noVBand="1"/>
      </w:tblPr>
      <w:tblGrid>
        <w:gridCol w:w="856"/>
        <w:gridCol w:w="1264"/>
        <w:gridCol w:w="283"/>
        <w:gridCol w:w="3071"/>
        <w:gridCol w:w="1152"/>
      </w:tblGrid>
      <w:tr w:rsidR="00D45277" w:rsidRPr="00B44B71" w14:paraId="23811DDB" w14:textId="77777777" w:rsidTr="00B44B71">
        <w:trPr>
          <w:trHeight w:val="694"/>
        </w:trPr>
        <w:tc>
          <w:tcPr>
            <w:tcW w:w="85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46D734" w14:textId="77777777" w:rsidR="00D45277" w:rsidRPr="00B44B71" w:rsidRDefault="00D45277" w:rsidP="0059118C">
            <w:pPr>
              <w:jc w:val="center"/>
              <w:rPr>
                <w:rFonts w:asciiTheme="majorHAnsi" w:eastAsia="Times New Roman" w:hAnsiTheme="majorHAnsi" w:cs="Times New Roman"/>
                <w:b w:val="0"/>
                <w:bCs/>
                <w:color w:val="000000"/>
                <w:sz w:val="22"/>
                <w:lang w:val="en-US" w:eastAsia="tr-TR"/>
              </w:rPr>
            </w:pPr>
            <w:r w:rsidRPr="00B44B71">
              <w:rPr>
                <w:rFonts w:asciiTheme="majorHAnsi" w:eastAsia="Times New Roman" w:hAnsiTheme="majorHAnsi" w:cs="Times New Roman"/>
                <w:bCs/>
                <w:color w:val="000000"/>
                <w:sz w:val="22"/>
                <w:lang w:val="en-US" w:eastAsia="tr-TR"/>
              </w:rPr>
              <w:t>Risk weights</w:t>
            </w:r>
          </w:p>
        </w:tc>
        <w:tc>
          <w:tcPr>
            <w:tcW w:w="1264" w:type="dxa"/>
            <w:tcBorders>
              <w:top w:val="single" w:sz="8" w:space="0" w:color="auto"/>
              <w:left w:val="single" w:sz="4" w:space="0" w:color="auto"/>
              <w:bottom w:val="single" w:sz="8" w:space="0" w:color="auto"/>
              <w:right w:val="single" w:sz="8" w:space="0" w:color="auto"/>
            </w:tcBorders>
            <w:shd w:val="clear" w:color="000000" w:fill="D9D9D9"/>
            <w:vAlign w:val="center"/>
            <w:hideMark/>
          </w:tcPr>
          <w:p w14:paraId="4EBA9F23" w14:textId="77777777" w:rsidR="00D45277" w:rsidRPr="00B44B71" w:rsidRDefault="00D45277" w:rsidP="0059118C">
            <w:pPr>
              <w:jc w:val="center"/>
              <w:rPr>
                <w:rFonts w:asciiTheme="majorHAnsi" w:eastAsia="Times New Roman" w:hAnsiTheme="majorHAnsi" w:cs="Times New Roman"/>
                <w:b w:val="0"/>
                <w:bCs/>
                <w:color w:val="000000"/>
                <w:sz w:val="22"/>
                <w:lang w:val="en-US" w:eastAsia="tr-TR"/>
              </w:rPr>
            </w:pPr>
            <w:r w:rsidRPr="00B44B71">
              <w:rPr>
                <w:rFonts w:asciiTheme="majorHAnsi" w:eastAsia="Times New Roman" w:hAnsiTheme="majorHAnsi" w:cs="Times New Roman"/>
                <w:bCs/>
                <w:color w:val="000000"/>
                <w:sz w:val="22"/>
                <w:lang w:val="en-US" w:eastAsia="tr-TR"/>
              </w:rPr>
              <w:t>Amount of exposure</w:t>
            </w:r>
          </w:p>
        </w:tc>
        <w:tc>
          <w:tcPr>
            <w:tcW w:w="283" w:type="dxa"/>
            <w:tcBorders>
              <w:top w:val="nil"/>
              <w:left w:val="nil"/>
              <w:bottom w:val="nil"/>
              <w:right w:val="nil"/>
            </w:tcBorders>
            <w:shd w:val="clear" w:color="auto" w:fill="auto"/>
            <w:noWrap/>
            <w:vAlign w:val="bottom"/>
            <w:hideMark/>
          </w:tcPr>
          <w:p w14:paraId="6877D2DC" w14:textId="77777777" w:rsidR="00D45277" w:rsidRPr="00B44B71" w:rsidRDefault="00D45277" w:rsidP="0059118C">
            <w:pPr>
              <w:jc w:val="center"/>
              <w:rPr>
                <w:rFonts w:asciiTheme="majorHAnsi" w:eastAsia="Times New Roman" w:hAnsiTheme="majorHAnsi" w:cs="Times New Roman"/>
                <w:b w:val="0"/>
                <w:bCs/>
                <w:color w:val="000000"/>
                <w:sz w:val="22"/>
                <w:lang w:val="en-US" w:eastAsia="tr-TR"/>
              </w:rPr>
            </w:pPr>
          </w:p>
        </w:tc>
        <w:tc>
          <w:tcPr>
            <w:tcW w:w="3071" w:type="dxa"/>
            <w:tcBorders>
              <w:top w:val="nil"/>
              <w:left w:val="nil"/>
              <w:bottom w:val="nil"/>
              <w:right w:val="nil"/>
            </w:tcBorders>
            <w:shd w:val="clear" w:color="auto" w:fill="auto"/>
            <w:noWrap/>
            <w:vAlign w:val="bottom"/>
            <w:hideMark/>
          </w:tcPr>
          <w:p w14:paraId="57E13742" w14:textId="77777777" w:rsidR="00D45277" w:rsidRPr="00B44B71" w:rsidRDefault="00D45277" w:rsidP="0059118C">
            <w:pPr>
              <w:rPr>
                <w:rFonts w:asciiTheme="majorHAnsi" w:eastAsia="Times New Roman" w:hAnsiTheme="majorHAnsi" w:cs="Times New Roman"/>
                <w:sz w:val="22"/>
                <w:szCs w:val="20"/>
                <w:lang w:val="en-US" w:eastAsia="tr-TR"/>
              </w:rPr>
            </w:pPr>
          </w:p>
        </w:tc>
        <w:tc>
          <w:tcPr>
            <w:tcW w:w="1152" w:type="dxa"/>
            <w:tcBorders>
              <w:top w:val="nil"/>
              <w:left w:val="nil"/>
              <w:bottom w:val="nil"/>
              <w:right w:val="nil"/>
            </w:tcBorders>
            <w:shd w:val="clear" w:color="auto" w:fill="auto"/>
            <w:noWrap/>
            <w:vAlign w:val="bottom"/>
            <w:hideMark/>
          </w:tcPr>
          <w:p w14:paraId="7611CA0C" w14:textId="77777777" w:rsidR="00D45277" w:rsidRPr="00B44B71" w:rsidRDefault="00D45277" w:rsidP="0059118C">
            <w:pPr>
              <w:rPr>
                <w:rFonts w:asciiTheme="majorHAnsi" w:eastAsia="Times New Roman" w:hAnsiTheme="majorHAnsi" w:cs="Times New Roman"/>
                <w:sz w:val="22"/>
                <w:szCs w:val="20"/>
                <w:lang w:val="en-US" w:eastAsia="tr-TR"/>
              </w:rPr>
            </w:pPr>
          </w:p>
        </w:tc>
      </w:tr>
      <w:tr w:rsidR="00D45277" w:rsidRPr="00B44B71" w14:paraId="530231DD" w14:textId="77777777" w:rsidTr="00B44B71">
        <w:trPr>
          <w:trHeight w:val="284"/>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318D3"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14:paraId="13BC2E52"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50.477.279</w:t>
            </w:r>
          </w:p>
        </w:tc>
        <w:tc>
          <w:tcPr>
            <w:tcW w:w="283" w:type="dxa"/>
            <w:tcBorders>
              <w:top w:val="nil"/>
              <w:left w:val="nil"/>
              <w:bottom w:val="nil"/>
              <w:right w:val="nil"/>
            </w:tcBorders>
            <w:shd w:val="clear" w:color="auto" w:fill="auto"/>
            <w:noWrap/>
            <w:vAlign w:val="bottom"/>
            <w:hideMark/>
          </w:tcPr>
          <w:p w14:paraId="3549C732" w14:textId="77777777" w:rsidR="00D45277" w:rsidRPr="00B44B71" w:rsidRDefault="00D45277" w:rsidP="0059118C">
            <w:pPr>
              <w:jc w:val="center"/>
              <w:rPr>
                <w:rFonts w:asciiTheme="majorHAnsi" w:eastAsia="Times New Roman" w:hAnsiTheme="majorHAnsi" w:cs="Times New Roman"/>
                <w:color w:val="000000"/>
                <w:sz w:val="22"/>
                <w:lang w:val="en-US" w:eastAsia="tr-TR"/>
              </w:rPr>
            </w:pPr>
          </w:p>
        </w:tc>
        <w:tc>
          <w:tcPr>
            <w:tcW w:w="3071" w:type="dxa"/>
            <w:tcBorders>
              <w:top w:val="nil"/>
              <w:left w:val="nil"/>
              <w:bottom w:val="nil"/>
              <w:right w:val="nil"/>
            </w:tcBorders>
            <w:shd w:val="clear" w:color="auto" w:fill="auto"/>
            <w:noWrap/>
            <w:vAlign w:val="bottom"/>
            <w:hideMark/>
          </w:tcPr>
          <w:p w14:paraId="6A6BA6F9" w14:textId="77777777" w:rsidR="00D45277" w:rsidRPr="00B44B71" w:rsidRDefault="00D45277" w:rsidP="0059118C">
            <w:pPr>
              <w:rPr>
                <w:rFonts w:asciiTheme="majorHAnsi" w:eastAsia="Times New Roman" w:hAnsiTheme="majorHAnsi" w:cs="Times New Roman"/>
                <w:sz w:val="22"/>
                <w:szCs w:val="20"/>
                <w:lang w:val="en-US" w:eastAsia="tr-TR"/>
              </w:rPr>
            </w:pPr>
          </w:p>
        </w:tc>
        <w:tc>
          <w:tcPr>
            <w:tcW w:w="1152" w:type="dxa"/>
            <w:tcBorders>
              <w:top w:val="nil"/>
              <w:left w:val="nil"/>
              <w:bottom w:val="nil"/>
              <w:right w:val="nil"/>
            </w:tcBorders>
            <w:shd w:val="clear" w:color="auto" w:fill="auto"/>
            <w:noWrap/>
            <w:vAlign w:val="bottom"/>
            <w:hideMark/>
          </w:tcPr>
          <w:p w14:paraId="3EF1882E" w14:textId="77777777" w:rsidR="00D45277" w:rsidRPr="00B44B71" w:rsidRDefault="00D45277" w:rsidP="0059118C">
            <w:pPr>
              <w:rPr>
                <w:rFonts w:asciiTheme="majorHAnsi" w:eastAsia="Times New Roman" w:hAnsiTheme="majorHAnsi" w:cs="Times New Roman"/>
                <w:sz w:val="22"/>
                <w:szCs w:val="20"/>
                <w:lang w:val="en-US" w:eastAsia="tr-TR"/>
              </w:rPr>
            </w:pPr>
          </w:p>
        </w:tc>
      </w:tr>
      <w:tr w:rsidR="00D45277" w:rsidRPr="00B44B71" w14:paraId="02DF7329" w14:textId="77777777" w:rsidTr="00B44B71">
        <w:trPr>
          <w:trHeight w:val="284"/>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FCD5F"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20%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14:paraId="28B66013"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2.017.166</w:t>
            </w:r>
          </w:p>
        </w:tc>
        <w:tc>
          <w:tcPr>
            <w:tcW w:w="283" w:type="dxa"/>
            <w:tcBorders>
              <w:top w:val="nil"/>
              <w:left w:val="nil"/>
              <w:bottom w:val="nil"/>
              <w:right w:val="nil"/>
            </w:tcBorders>
            <w:shd w:val="clear" w:color="auto" w:fill="auto"/>
            <w:noWrap/>
            <w:vAlign w:val="bottom"/>
            <w:hideMark/>
          </w:tcPr>
          <w:p w14:paraId="779072F8" w14:textId="77777777" w:rsidR="00D45277" w:rsidRPr="00B44B71" w:rsidRDefault="00D45277" w:rsidP="0059118C">
            <w:pPr>
              <w:jc w:val="center"/>
              <w:rPr>
                <w:rFonts w:asciiTheme="majorHAnsi" w:eastAsia="Times New Roman" w:hAnsiTheme="majorHAnsi" w:cs="Times New Roman"/>
                <w:color w:val="000000"/>
                <w:sz w:val="22"/>
                <w:lang w:val="en-US" w:eastAsia="tr-TR"/>
              </w:rPr>
            </w:pPr>
          </w:p>
        </w:tc>
        <w:tc>
          <w:tcPr>
            <w:tcW w:w="3071"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B978B87" w14:textId="77777777" w:rsidR="00D45277" w:rsidRPr="00B44B71" w:rsidRDefault="00D45277" w:rsidP="0059118C">
            <w:pPr>
              <w:jc w:val="center"/>
              <w:rPr>
                <w:rFonts w:asciiTheme="majorHAnsi" w:eastAsia="Times New Roman" w:hAnsiTheme="majorHAnsi" w:cs="Times New Roman"/>
                <w:b w:val="0"/>
                <w:bCs/>
                <w:color w:val="000000"/>
                <w:sz w:val="22"/>
                <w:lang w:val="en-US" w:eastAsia="tr-TR"/>
              </w:rPr>
            </w:pPr>
            <w:r w:rsidRPr="00B44B71">
              <w:rPr>
                <w:rFonts w:asciiTheme="majorHAnsi" w:eastAsia="Times New Roman" w:hAnsiTheme="majorHAnsi" w:cs="Times New Roman"/>
                <w:bCs/>
                <w:color w:val="000000"/>
                <w:sz w:val="22"/>
                <w:lang w:val="en-US" w:eastAsia="tr-TR"/>
              </w:rPr>
              <w:t>Total Capital</w:t>
            </w:r>
          </w:p>
        </w:tc>
        <w:tc>
          <w:tcPr>
            <w:tcW w:w="1152" w:type="dxa"/>
            <w:tcBorders>
              <w:top w:val="single" w:sz="8" w:space="0" w:color="auto"/>
              <w:left w:val="nil"/>
              <w:bottom w:val="single" w:sz="8" w:space="0" w:color="auto"/>
              <w:right w:val="single" w:sz="8" w:space="0" w:color="auto"/>
            </w:tcBorders>
            <w:shd w:val="clear" w:color="auto" w:fill="auto"/>
            <w:noWrap/>
            <w:vAlign w:val="center"/>
            <w:hideMark/>
          </w:tcPr>
          <w:p w14:paraId="7FD0A88F"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30.410.851</w:t>
            </w:r>
          </w:p>
        </w:tc>
      </w:tr>
      <w:tr w:rsidR="00D45277" w:rsidRPr="00B44B71" w14:paraId="7B94AD07" w14:textId="77777777" w:rsidTr="00B44B71">
        <w:trPr>
          <w:trHeight w:val="284"/>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18D16"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50%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14:paraId="409E70BE"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30.641.752</w:t>
            </w:r>
          </w:p>
        </w:tc>
        <w:tc>
          <w:tcPr>
            <w:tcW w:w="283" w:type="dxa"/>
            <w:tcBorders>
              <w:top w:val="nil"/>
              <w:left w:val="nil"/>
              <w:bottom w:val="nil"/>
              <w:right w:val="nil"/>
            </w:tcBorders>
            <w:shd w:val="clear" w:color="auto" w:fill="auto"/>
            <w:noWrap/>
            <w:vAlign w:val="bottom"/>
            <w:hideMark/>
          </w:tcPr>
          <w:p w14:paraId="1957FB26" w14:textId="77777777" w:rsidR="00D45277" w:rsidRPr="00B44B71" w:rsidRDefault="00D45277" w:rsidP="0059118C">
            <w:pPr>
              <w:jc w:val="center"/>
              <w:rPr>
                <w:rFonts w:asciiTheme="majorHAnsi" w:eastAsia="Times New Roman" w:hAnsiTheme="majorHAnsi" w:cs="Times New Roman"/>
                <w:color w:val="000000"/>
                <w:sz w:val="22"/>
                <w:lang w:val="en-US" w:eastAsia="tr-TR"/>
              </w:rPr>
            </w:pPr>
          </w:p>
        </w:tc>
        <w:tc>
          <w:tcPr>
            <w:tcW w:w="3071" w:type="dxa"/>
            <w:tcBorders>
              <w:top w:val="nil"/>
              <w:left w:val="single" w:sz="8" w:space="0" w:color="auto"/>
              <w:bottom w:val="single" w:sz="8" w:space="0" w:color="auto"/>
              <w:right w:val="single" w:sz="8" w:space="0" w:color="auto"/>
            </w:tcBorders>
            <w:shd w:val="clear" w:color="000000" w:fill="D9D9D9"/>
            <w:noWrap/>
            <w:vAlign w:val="center"/>
            <w:hideMark/>
          </w:tcPr>
          <w:p w14:paraId="5F4A9747" w14:textId="77777777" w:rsidR="00D45277" w:rsidRPr="00B44B71" w:rsidRDefault="00D45277" w:rsidP="0059118C">
            <w:pPr>
              <w:jc w:val="center"/>
              <w:rPr>
                <w:rFonts w:asciiTheme="majorHAnsi" w:eastAsia="Times New Roman" w:hAnsiTheme="majorHAnsi" w:cs="Times New Roman"/>
                <w:b w:val="0"/>
                <w:bCs/>
                <w:color w:val="000000"/>
                <w:sz w:val="22"/>
                <w:lang w:val="en-US" w:eastAsia="tr-TR"/>
              </w:rPr>
            </w:pPr>
            <w:r w:rsidRPr="00B44B71">
              <w:rPr>
                <w:rFonts w:asciiTheme="majorHAnsi" w:eastAsia="Times New Roman" w:hAnsiTheme="majorHAnsi" w:cs="Times New Roman"/>
                <w:bCs/>
                <w:color w:val="000000"/>
                <w:sz w:val="22"/>
                <w:lang w:val="en-US" w:eastAsia="tr-TR"/>
              </w:rPr>
              <w:t>Value at market risk</w:t>
            </w:r>
          </w:p>
        </w:tc>
        <w:tc>
          <w:tcPr>
            <w:tcW w:w="1152" w:type="dxa"/>
            <w:tcBorders>
              <w:top w:val="nil"/>
              <w:left w:val="nil"/>
              <w:bottom w:val="single" w:sz="8" w:space="0" w:color="auto"/>
              <w:right w:val="single" w:sz="8" w:space="0" w:color="auto"/>
            </w:tcBorders>
            <w:shd w:val="clear" w:color="auto" w:fill="auto"/>
            <w:noWrap/>
            <w:vAlign w:val="center"/>
            <w:hideMark/>
          </w:tcPr>
          <w:p w14:paraId="4B9A5AA8"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4.147.550</w:t>
            </w:r>
          </w:p>
        </w:tc>
      </w:tr>
      <w:tr w:rsidR="00D45277" w:rsidRPr="00B44B71" w14:paraId="5C9AAD9E" w14:textId="77777777" w:rsidTr="00B44B71">
        <w:trPr>
          <w:trHeight w:val="284"/>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EE91F"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75%</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14:paraId="6401FC3D"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22.721.765</w:t>
            </w:r>
          </w:p>
        </w:tc>
        <w:tc>
          <w:tcPr>
            <w:tcW w:w="283" w:type="dxa"/>
            <w:tcBorders>
              <w:top w:val="nil"/>
              <w:left w:val="nil"/>
              <w:bottom w:val="nil"/>
              <w:right w:val="nil"/>
            </w:tcBorders>
            <w:shd w:val="clear" w:color="auto" w:fill="auto"/>
            <w:noWrap/>
            <w:vAlign w:val="bottom"/>
            <w:hideMark/>
          </w:tcPr>
          <w:p w14:paraId="3B368FEB" w14:textId="77777777" w:rsidR="00D45277" w:rsidRPr="00B44B71" w:rsidRDefault="00D45277" w:rsidP="0059118C">
            <w:pPr>
              <w:jc w:val="center"/>
              <w:rPr>
                <w:rFonts w:asciiTheme="majorHAnsi" w:eastAsia="Times New Roman" w:hAnsiTheme="majorHAnsi" w:cs="Times New Roman"/>
                <w:color w:val="000000"/>
                <w:sz w:val="22"/>
                <w:lang w:val="en-US" w:eastAsia="tr-TR"/>
              </w:rPr>
            </w:pPr>
          </w:p>
        </w:tc>
        <w:tc>
          <w:tcPr>
            <w:tcW w:w="3071" w:type="dxa"/>
            <w:tcBorders>
              <w:top w:val="nil"/>
              <w:left w:val="single" w:sz="8" w:space="0" w:color="auto"/>
              <w:bottom w:val="single" w:sz="8" w:space="0" w:color="auto"/>
              <w:right w:val="single" w:sz="8" w:space="0" w:color="auto"/>
            </w:tcBorders>
            <w:shd w:val="clear" w:color="000000" w:fill="D9D9D9"/>
            <w:noWrap/>
            <w:vAlign w:val="center"/>
            <w:hideMark/>
          </w:tcPr>
          <w:p w14:paraId="373C0975" w14:textId="77777777" w:rsidR="00D45277" w:rsidRPr="00B44B71" w:rsidRDefault="00D45277" w:rsidP="0059118C">
            <w:pPr>
              <w:jc w:val="center"/>
              <w:rPr>
                <w:rFonts w:asciiTheme="majorHAnsi" w:eastAsia="Times New Roman" w:hAnsiTheme="majorHAnsi" w:cs="Times New Roman"/>
                <w:b w:val="0"/>
                <w:bCs/>
                <w:color w:val="000000"/>
                <w:sz w:val="22"/>
                <w:lang w:val="en-US" w:eastAsia="tr-TR"/>
              </w:rPr>
            </w:pPr>
            <w:r w:rsidRPr="00B44B71">
              <w:rPr>
                <w:rFonts w:asciiTheme="majorHAnsi" w:eastAsia="Times New Roman" w:hAnsiTheme="majorHAnsi" w:cs="Times New Roman"/>
                <w:bCs/>
                <w:color w:val="000000"/>
                <w:sz w:val="22"/>
                <w:lang w:val="en-US" w:eastAsia="tr-TR"/>
              </w:rPr>
              <w:t>Value at operational risk</w:t>
            </w:r>
          </w:p>
        </w:tc>
        <w:tc>
          <w:tcPr>
            <w:tcW w:w="1152" w:type="dxa"/>
            <w:tcBorders>
              <w:top w:val="nil"/>
              <w:left w:val="nil"/>
              <w:bottom w:val="single" w:sz="8" w:space="0" w:color="auto"/>
              <w:right w:val="single" w:sz="8" w:space="0" w:color="auto"/>
            </w:tcBorders>
            <w:shd w:val="clear" w:color="auto" w:fill="auto"/>
            <w:noWrap/>
            <w:vAlign w:val="center"/>
            <w:hideMark/>
          </w:tcPr>
          <w:p w14:paraId="1543943D"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14.905.738</w:t>
            </w:r>
          </w:p>
        </w:tc>
      </w:tr>
      <w:tr w:rsidR="00D45277" w:rsidRPr="00B44B71" w14:paraId="7886B01A" w14:textId="77777777" w:rsidTr="00B44B71">
        <w:trPr>
          <w:trHeight w:val="284"/>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036ED9"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100%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14:paraId="5FC05C9D"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111.422.758</w:t>
            </w:r>
          </w:p>
        </w:tc>
        <w:tc>
          <w:tcPr>
            <w:tcW w:w="283" w:type="dxa"/>
            <w:tcBorders>
              <w:top w:val="nil"/>
              <w:left w:val="nil"/>
              <w:bottom w:val="nil"/>
              <w:right w:val="nil"/>
            </w:tcBorders>
            <w:shd w:val="clear" w:color="auto" w:fill="auto"/>
            <w:noWrap/>
            <w:vAlign w:val="bottom"/>
            <w:hideMark/>
          </w:tcPr>
          <w:p w14:paraId="71ADCE72" w14:textId="77777777" w:rsidR="00D45277" w:rsidRPr="00B44B71" w:rsidRDefault="00D45277" w:rsidP="0059118C">
            <w:pPr>
              <w:jc w:val="center"/>
              <w:rPr>
                <w:rFonts w:asciiTheme="majorHAnsi" w:eastAsia="Times New Roman" w:hAnsiTheme="majorHAnsi" w:cs="Times New Roman"/>
                <w:color w:val="000000"/>
                <w:sz w:val="22"/>
                <w:lang w:val="en-US" w:eastAsia="tr-TR"/>
              </w:rPr>
            </w:pPr>
          </w:p>
        </w:tc>
        <w:tc>
          <w:tcPr>
            <w:tcW w:w="3071" w:type="dxa"/>
            <w:tcBorders>
              <w:top w:val="nil"/>
              <w:left w:val="single" w:sz="8" w:space="0" w:color="auto"/>
              <w:bottom w:val="single" w:sz="8" w:space="0" w:color="auto"/>
              <w:right w:val="single" w:sz="8" w:space="0" w:color="auto"/>
            </w:tcBorders>
            <w:shd w:val="clear" w:color="000000" w:fill="D9D9D9"/>
            <w:noWrap/>
            <w:vAlign w:val="center"/>
            <w:hideMark/>
          </w:tcPr>
          <w:p w14:paraId="33D5DC55" w14:textId="77777777" w:rsidR="00D45277" w:rsidRPr="00B44B71" w:rsidRDefault="00D45277" w:rsidP="0059118C">
            <w:pPr>
              <w:jc w:val="center"/>
              <w:rPr>
                <w:rFonts w:asciiTheme="majorHAnsi" w:eastAsia="Times New Roman" w:hAnsiTheme="majorHAnsi" w:cs="Times New Roman"/>
                <w:b w:val="0"/>
                <w:bCs/>
                <w:color w:val="000000"/>
                <w:sz w:val="22"/>
                <w:lang w:val="en-US" w:eastAsia="tr-TR"/>
              </w:rPr>
            </w:pPr>
            <w:r w:rsidRPr="00B44B71">
              <w:rPr>
                <w:rFonts w:asciiTheme="majorHAnsi" w:eastAsia="Times New Roman" w:hAnsiTheme="majorHAnsi" w:cs="Times New Roman"/>
                <w:bCs/>
                <w:color w:val="000000"/>
                <w:sz w:val="22"/>
                <w:lang w:val="en-US" w:eastAsia="tr-TR"/>
              </w:rPr>
              <w:t>High quality liquid assets</w:t>
            </w:r>
          </w:p>
        </w:tc>
        <w:tc>
          <w:tcPr>
            <w:tcW w:w="1152" w:type="dxa"/>
            <w:tcBorders>
              <w:top w:val="nil"/>
              <w:left w:val="nil"/>
              <w:bottom w:val="single" w:sz="8" w:space="0" w:color="auto"/>
              <w:right w:val="single" w:sz="8" w:space="0" w:color="auto"/>
            </w:tcBorders>
            <w:shd w:val="clear" w:color="auto" w:fill="auto"/>
            <w:noWrap/>
            <w:vAlign w:val="center"/>
            <w:hideMark/>
          </w:tcPr>
          <w:p w14:paraId="2E727887"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40.208.564</w:t>
            </w:r>
          </w:p>
        </w:tc>
      </w:tr>
      <w:tr w:rsidR="00D45277" w:rsidRPr="00B44B71" w14:paraId="79F8A879" w14:textId="77777777" w:rsidTr="00B44B71">
        <w:trPr>
          <w:trHeight w:val="284"/>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EC636"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150%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14:paraId="51A6EDB1"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8.591.403</w:t>
            </w:r>
          </w:p>
        </w:tc>
        <w:tc>
          <w:tcPr>
            <w:tcW w:w="283" w:type="dxa"/>
            <w:tcBorders>
              <w:top w:val="nil"/>
              <w:left w:val="nil"/>
              <w:bottom w:val="nil"/>
              <w:right w:val="nil"/>
            </w:tcBorders>
            <w:shd w:val="clear" w:color="auto" w:fill="auto"/>
            <w:noWrap/>
            <w:vAlign w:val="bottom"/>
            <w:hideMark/>
          </w:tcPr>
          <w:p w14:paraId="0BF9849B" w14:textId="77777777" w:rsidR="00D45277" w:rsidRPr="00B44B71" w:rsidRDefault="00D45277" w:rsidP="0059118C">
            <w:pPr>
              <w:jc w:val="center"/>
              <w:rPr>
                <w:rFonts w:asciiTheme="majorHAnsi" w:eastAsia="Times New Roman" w:hAnsiTheme="majorHAnsi" w:cs="Times New Roman"/>
                <w:color w:val="000000"/>
                <w:sz w:val="22"/>
                <w:lang w:val="en-US" w:eastAsia="tr-TR"/>
              </w:rPr>
            </w:pPr>
          </w:p>
        </w:tc>
        <w:tc>
          <w:tcPr>
            <w:tcW w:w="3071" w:type="dxa"/>
            <w:tcBorders>
              <w:top w:val="nil"/>
              <w:left w:val="single" w:sz="8" w:space="0" w:color="auto"/>
              <w:bottom w:val="single" w:sz="8" w:space="0" w:color="auto"/>
              <w:right w:val="single" w:sz="8" w:space="0" w:color="auto"/>
            </w:tcBorders>
            <w:shd w:val="clear" w:color="000000" w:fill="D9D9D9"/>
            <w:noWrap/>
            <w:vAlign w:val="center"/>
            <w:hideMark/>
          </w:tcPr>
          <w:p w14:paraId="7E60F7F6" w14:textId="77777777" w:rsidR="00D45277" w:rsidRPr="00B44B71" w:rsidRDefault="00D45277" w:rsidP="0059118C">
            <w:pPr>
              <w:jc w:val="center"/>
              <w:rPr>
                <w:rFonts w:asciiTheme="majorHAnsi" w:eastAsia="Times New Roman" w:hAnsiTheme="majorHAnsi" w:cs="Times New Roman"/>
                <w:b w:val="0"/>
                <w:bCs/>
                <w:color w:val="000000"/>
                <w:sz w:val="22"/>
                <w:lang w:val="en-US" w:eastAsia="tr-TR"/>
              </w:rPr>
            </w:pPr>
            <w:r w:rsidRPr="00B44B71">
              <w:rPr>
                <w:rFonts w:asciiTheme="majorHAnsi" w:eastAsia="Times New Roman" w:hAnsiTheme="majorHAnsi" w:cs="Times New Roman"/>
                <w:bCs/>
                <w:color w:val="000000"/>
                <w:sz w:val="22"/>
                <w:lang w:val="en-US" w:eastAsia="tr-TR"/>
              </w:rPr>
              <w:t>Total cash inflows in 1 month</w:t>
            </w:r>
          </w:p>
        </w:tc>
        <w:tc>
          <w:tcPr>
            <w:tcW w:w="1152" w:type="dxa"/>
            <w:tcBorders>
              <w:top w:val="nil"/>
              <w:left w:val="nil"/>
              <w:bottom w:val="single" w:sz="8" w:space="0" w:color="auto"/>
              <w:right w:val="single" w:sz="8" w:space="0" w:color="auto"/>
            </w:tcBorders>
            <w:shd w:val="clear" w:color="auto" w:fill="auto"/>
            <w:noWrap/>
            <w:vAlign w:val="center"/>
            <w:hideMark/>
          </w:tcPr>
          <w:p w14:paraId="69158769"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29.180.943</w:t>
            </w:r>
          </w:p>
        </w:tc>
      </w:tr>
      <w:tr w:rsidR="00D45277" w:rsidRPr="00B44B71" w14:paraId="2C303F0A" w14:textId="77777777" w:rsidTr="00B44B71">
        <w:trPr>
          <w:trHeight w:val="284"/>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42849"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200%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14:paraId="446A5BF3"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14.862.974</w:t>
            </w:r>
          </w:p>
        </w:tc>
        <w:tc>
          <w:tcPr>
            <w:tcW w:w="283" w:type="dxa"/>
            <w:tcBorders>
              <w:top w:val="nil"/>
              <w:left w:val="nil"/>
              <w:bottom w:val="nil"/>
              <w:right w:val="nil"/>
            </w:tcBorders>
            <w:shd w:val="clear" w:color="auto" w:fill="auto"/>
            <w:noWrap/>
            <w:vAlign w:val="bottom"/>
            <w:hideMark/>
          </w:tcPr>
          <w:p w14:paraId="3F56548A" w14:textId="77777777" w:rsidR="00D45277" w:rsidRPr="00B44B71" w:rsidRDefault="00D45277" w:rsidP="0059118C">
            <w:pPr>
              <w:jc w:val="center"/>
              <w:rPr>
                <w:rFonts w:asciiTheme="majorHAnsi" w:eastAsia="Times New Roman" w:hAnsiTheme="majorHAnsi" w:cs="Times New Roman"/>
                <w:color w:val="000000"/>
                <w:sz w:val="22"/>
                <w:lang w:val="en-US" w:eastAsia="tr-TR"/>
              </w:rPr>
            </w:pPr>
          </w:p>
        </w:tc>
        <w:tc>
          <w:tcPr>
            <w:tcW w:w="3071" w:type="dxa"/>
            <w:tcBorders>
              <w:top w:val="nil"/>
              <w:left w:val="single" w:sz="8" w:space="0" w:color="auto"/>
              <w:bottom w:val="single" w:sz="8" w:space="0" w:color="auto"/>
              <w:right w:val="single" w:sz="8" w:space="0" w:color="auto"/>
            </w:tcBorders>
            <w:shd w:val="clear" w:color="000000" w:fill="D9D9D9"/>
            <w:noWrap/>
            <w:vAlign w:val="center"/>
            <w:hideMark/>
          </w:tcPr>
          <w:p w14:paraId="6DF6151C" w14:textId="77777777" w:rsidR="00D45277" w:rsidRPr="00B44B71" w:rsidRDefault="00D45277" w:rsidP="0059118C">
            <w:pPr>
              <w:jc w:val="center"/>
              <w:rPr>
                <w:rFonts w:asciiTheme="majorHAnsi" w:eastAsia="Times New Roman" w:hAnsiTheme="majorHAnsi" w:cs="Times New Roman"/>
                <w:b w:val="0"/>
                <w:bCs/>
                <w:color w:val="000000"/>
                <w:sz w:val="22"/>
                <w:lang w:val="en-US" w:eastAsia="tr-TR"/>
              </w:rPr>
            </w:pPr>
            <w:r w:rsidRPr="00B44B71">
              <w:rPr>
                <w:rFonts w:asciiTheme="majorHAnsi" w:eastAsia="Times New Roman" w:hAnsiTheme="majorHAnsi" w:cs="Times New Roman"/>
                <w:bCs/>
                <w:color w:val="000000"/>
                <w:sz w:val="22"/>
                <w:lang w:val="en-US" w:eastAsia="tr-TR"/>
              </w:rPr>
              <w:t>Total cash outflows in 1 month</w:t>
            </w:r>
          </w:p>
        </w:tc>
        <w:tc>
          <w:tcPr>
            <w:tcW w:w="1152" w:type="dxa"/>
            <w:tcBorders>
              <w:top w:val="nil"/>
              <w:left w:val="nil"/>
              <w:bottom w:val="single" w:sz="8" w:space="0" w:color="auto"/>
              <w:right w:val="single" w:sz="8" w:space="0" w:color="auto"/>
            </w:tcBorders>
            <w:shd w:val="clear" w:color="auto" w:fill="auto"/>
            <w:noWrap/>
            <w:vAlign w:val="center"/>
            <w:hideMark/>
          </w:tcPr>
          <w:p w14:paraId="1494D15B"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57.106.129</w:t>
            </w:r>
          </w:p>
        </w:tc>
      </w:tr>
      <w:tr w:rsidR="00D45277" w:rsidRPr="00B44B71" w14:paraId="1CB8E75C" w14:textId="77777777" w:rsidTr="00B44B71">
        <w:trPr>
          <w:trHeight w:val="284"/>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F3833"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250%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14:paraId="614BE700" w14:textId="77777777" w:rsidR="00D45277" w:rsidRPr="00B44B71" w:rsidRDefault="00D45277" w:rsidP="0059118C">
            <w:pPr>
              <w:jc w:val="center"/>
              <w:rPr>
                <w:rFonts w:asciiTheme="majorHAnsi" w:eastAsia="Times New Roman" w:hAnsiTheme="majorHAnsi" w:cs="Times New Roman"/>
                <w:color w:val="000000"/>
                <w:sz w:val="22"/>
                <w:lang w:val="en-US" w:eastAsia="tr-TR"/>
              </w:rPr>
            </w:pPr>
            <w:r w:rsidRPr="00B44B71">
              <w:rPr>
                <w:rFonts w:asciiTheme="majorHAnsi" w:eastAsia="Times New Roman" w:hAnsiTheme="majorHAnsi" w:cs="Times New Roman"/>
                <w:color w:val="000000"/>
                <w:sz w:val="22"/>
                <w:lang w:val="en-US" w:eastAsia="tr-TR"/>
              </w:rPr>
              <w:t>1.026.195</w:t>
            </w:r>
          </w:p>
        </w:tc>
        <w:tc>
          <w:tcPr>
            <w:tcW w:w="283" w:type="dxa"/>
            <w:tcBorders>
              <w:top w:val="nil"/>
              <w:left w:val="nil"/>
              <w:bottom w:val="nil"/>
              <w:right w:val="nil"/>
            </w:tcBorders>
            <w:shd w:val="clear" w:color="auto" w:fill="auto"/>
            <w:noWrap/>
            <w:vAlign w:val="bottom"/>
            <w:hideMark/>
          </w:tcPr>
          <w:p w14:paraId="37E9C91C" w14:textId="77777777" w:rsidR="00D45277" w:rsidRPr="00B44B71" w:rsidRDefault="00D45277" w:rsidP="0059118C">
            <w:pPr>
              <w:jc w:val="center"/>
              <w:rPr>
                <w:rFonts w:asciiTheme="majorHAnsi" w:eastAsia="Times New Roman" w:hAnsiTheme="majorHAnsi" w:cs="Times New Roman"/>
                <w:color w:val="000000"/>
                <w:sz w:val="22"/>
                <w:lang w:val="en-US" w:eastAsia="tr-TR"/>
              </w:rPr>
            </w:pPr>
          </w:p>
        </w:tc>
        <w:tc>
          <w:tcPr>
            <w:tcW w:w="3071" w:type="dxa"/>
            <w:tcBorders>
              <w:top w:val="nil"/>
              <w:left w:val="nil"/>
              <w:bottom w:val="nil"/>
              <w:right w:val="nil"/>
            </w:tcBorders>
            <w:shd w:val="clear" w:color="auto" w:fill="auto"/>
            <w:noWrap/>
            <w:vAlign w:val="bottom"/>
            <w:hideMark/>
          </w:tcPr>
          <w:p w14:paraId="1ED51668" w14:textId="77777777" w:rsidR="00D45277" w:rsidRPr="00B44B71" w:rsidRDefault="00D45277" w:rsidP="0059118C">
            <w:pPr>
              <w:rPr>
                <w:rFonts w:asciiTheme="majorHAnsi" w:eastAsia="Times New Roman" w:hAnsiTheme="majorHAnsi" w:cs="Times New Roman"/>
                <w:sz w:val="22"/>
                <w:szCs w:val="20"/>
                <w:lang w:val="en-US" w:eastAsia="tr-TR"/>
              </w:rPr>
            </w:pPr>
          </w:p>
        </w:tc>
        <w:tc>
          <w:tcPr>
            <w:tcW w:w="1152" w:type="dxa"/>
            <w:tcBorders>
              <w:top w:val="nil"/>
              <w:left w:val="nil"/>
              <w:bottom w:val="nil"/>
              <w:right w:val="nil"/>
            </w:tcBorders>
            <w:shd w:val="clear" w:color="auto" w:fill="auto"/>
            <w:noWrap/>
            <w:vAlign w:val="bottom"/>
            <w:hideMark/>
          </w:tcPr>
          <w:p w14:paraId="6FC96873" w14:textId="77777777" w:rsidR="00D45277" w:rsidRPr="00B44B71" w:rsidRDefault="00D45277" w:rsidP="0059118C">
            <w:pPr>
              <w:rPr>
                <w:rFonts w:asciiTheme="majorHAnsi" w:eastAsia="Times New Roman" w:hAnsiTheme="majorHAnsi" w:cs="Times New Roman"/>
                <w:sz w:val="22"/>
                <w:szCs w:val="20"/>
                <w:lang w:val="en-US" w:eastAsia="tr-TR"/>
              </w:rPr>
            </w:pPr>
          </w:p>
        </w:tc>
      </w:tr>
    </w:tbl>
    <w:p w14:paraId="7C907754" w14:textId="115231E9" w:rsidR="00D45277" w:rsidRPr="00B44B71" w:rsidRDefault="00FA56CD" w:rsidP="00D45277">
      <w:pPr>
        <w:jc w:val="both"/>
        <w:rPr>
          <w:rFonts w:asciiTheme="majorHAnsi" w:hAnsiTheme="majorHAnsi"/>
          <w:b w:val="0"/>
          <w:sz w:val="22"/>
          <w:szCs w:val="20"/>
          <w:lang w:val="en-US"/>
        </w:rPr>
      </w:pPr>
      <w:r>
        <w:rPr>
          <w:rFonts w:asciiTheme="majorHAnsi" w:hAnsiTheme="majorHAnsi"/>
          <w:b w:val="0"/>
          <w:sz w:val="22"/>
          <w:szCs w:val="20"/>
          <w:lang w:val="en-US"/>
        </w:rPr>
        <w:t xml:space="preserve">Q(4) (25 marks) </w:t>
      </w:r>
      <w:r w:rsidR="00D45277" w:rsidRPr="00B44B71">
        <w:rPr>
          <w:rFonts w:asciiTheme="majorHAnsi" w:hAnsiTheme="majorHAnsi"/>
          <w:b w:val="0"/>
          <w:sz w:val="22"/>
          <w:szCs w:val="20"/>
          <w:lang w:val="en-US"/>
        </w:rPr>
        <w:t>The given numbers on the tables below are presented in the Financial Report of Akbank TAŞ for the year ended 31 December 2015. The amounts on the first table are related with credit risk and remaining necessary information is given on the second table (All numbers are in thousands of TL.)</w:t>
      </w:r>
    </w:p>
    <w:p w14:paraId="4D3ED996" w14:textId="77777777" w:rsidR="00D45277" w:rsidRPr="00B44B71" w:rsidRDefault="00D45277" w:rsidP="00D45277">
      <w:pPr>
        <w:jc w:val="both"/>
        <w:rPr>
          <w:rFonts w:asciiTheme="majorHAnsi" w:hAnsiTheme="majorHAnsi"/>
          <w:b w:val="0"/>
          <w:sz w:val="22"/>
          <w:szCs w:val="20"/>
          <w:lang w:val="en-US"/>
        </w:rPr>
      </w:pPr>
    </w:p>
    <w:p w14:paraId="7F2E23EF" w14:textId="77777777" w:rsidR="00D45277" w:rsidRPr="00B44B71" w:rsidRDefault="00D45277" w:rsidP="00D45277">
      <w:pPr>
        <w:jc w:val="both"/>
        <w:rPr>
          <w:rFonts w:asciiTheme="majorHAnsi" w:hAnsiTheme="majorHAnsi"/>
          <w:b w:val="0"/>
          <w:sz w:val="22"/>
          <w:szCs w:val="20"/>
          <w:lang w:val="en-US"/>
        </w:rPr>
      </w:pPr>
    </w:p>
    <w:p w14:paraId="28257CDD" w14:textId="77777777" w:rsidR="00D45277" w:rsidRPr="00B44B71" w:rsidRDefault="00D45277" w:rsidP="00D45277">
      <w:pPr>
        <w:jc w:val="both"/>
        <w:rPr>
          <w:rFonts w:asciiTheme="majorHAnsi" w:hAnsiTheme="majorHAnsi"/>
          <w:b w:val="0"/>
          <w:sz w:val="22"/>
          <w:szCs w:val="20"/>
          <w:lang w:val="en-US"/>
        </w:rPr>
      </w:pPr>
    </w:p>
    <w:p w14:paraId="4133F9A2" w14:textId="77777777" w:rsidR="00D45277" w:rsidRPr="00B44B71" w:rsidRDefault="00D45277" w:rsidP="00D45277">
      <w:pPr>
        <w:jc w:val="both"/>
        <w:rPr>
          <w:rFonts w:asciiTheme="majorHAnsi" w:hAnsiTheme="majorHAnsi"/>
          <w:b w:val="0"/>
          <w:sz w:val="22"/>
          <w:szCs w:val="20"/>
          <w:lang w:val="en-US"/>
        </w:rPr>
      </w:pPr>
    </w:p>
    <w:p w14:paraId="01FCA368" w14:textId="77777777" w:rsidR="00D45277" w:rsidRPr="00B44B71" w:rsidRDefault="00D45277" w:rsidP="00D45277">
      <w:pPr>
        <w:jc w:val="both"/>
        <w:rPr>
          <w:rFonts w:asciiTheme="majorHAnsi" w:hAnsiTheme="majorHAnsi"/>
          <w:b w:val="0"/>
          <w:sz w:val="22"/>
          <w:szCs w:val="20"/>
          <w:lang w:val="en-US"/>
        </w:rPr>
      </w:pPr>
    </w:p>
    <w:p w14:paraId="5415814E" w14:textId="77777777" w:rsidR="00D45277" w:rsidRPr="00B44B71" w:rsidRDefault="00D45277" w:rsidP="00D45277">
      <w:pPr>
        <w:jc w:val="both"/>
        <w:rPr>
          <w:rFonts w:asciiTheme="majorHAnsi" w:hAnsiTheme="majorHAnsi"/>
          <w:b w:val="0"/>
          <w:sz w:val="22"/>
          <w:szCs w:val="20"/>
          <w:lang w:val="en-US"/>
        </w:rPr>
      </w:pPr>
    </w:p>
    <w:p w14:paraId="580E73D7" w14:textId="77777777" w:rsidR="00D45277" w:rsidRPr="00B44B71" w:rsidRDefault="00D45277" w:rsidP="00D45277">
      <w:pPr>
        <w:jc w:val="both"/>
        <w:rPr>
          <w:rFonts w:asciiTheme="majorHAnsi" w:hAnsiTheme="majorHAnsi"/>
          <w:b w:val="0"/>
          <w:sz w:val="22"/>
          <w:szCs w:val="20"/>
          <w:lang w:val="en-US"/>
        </w:rPr>
      </w:pPr>
    </w:p>
    <w:p w14:paraId="3D7EDC2B" w14:textId="77777777" w:rsidR="00D45277" w:rsidRPr="00B44B71" w:rsidRDefault="00D45277" w:rsidP="00D45277">
      <w:pPr>
        <w:pStyle w:val="ListParagraph"/>
        <w:numPr>
          <w:ilvl w:val="0"/>
          <w:numId w:val="1"/>
        </w:numPr>
        <w:rPr>
          <w:rFonts w:asciiTheme="majorHAnsi" w:hAnsiTheme="majorHAnsi"/>
          <w:szCs w:val="20"/>
          <w:lang w:val="en-US"/>
        </w:rPr>
      </w:pPr>
      <w:r w:rsidRPr="00B44B71">
        <w:rPr>
          <w:rFonts w:asciiTheme="majorHAnsi" w:hAnsiTheme="majorHAnsi"/>
          <w:szCs w:val="20"/>
          <w:lang w:val="en-US"/>
        </w:rPr>
        <w:t>Calculate the capital adequacy and liquidity coverage ratios of the bank for given year.</w:t>
      </w:r>
    </w:p>
    <w:p w14:paraId="46D12806" w14:textId="77777777" w:rsidR="00D45277" w:rsidRPr="00B44B71" w:rsidRDefault="00D45277" w:rsidP="00D45277">
      <w:pPr>
        <w:pStyle w:val="ListParagraph"/>
        <w:numPr>
          <w:ilvl w:val="0"/>
          <w:numId w:val="1"/>
        </w:numPr>
        <w:rPr>
          <w:rFonts w:asciiTheme="majorHAnsi" w:hAnsiTheme="majorHAnsi"/>
          <w:szCs w:val="20"/>
          <w:lang w:val="en-US"/>
        </w:rPr>
      </w:pPr>
      <w:r w:rsidRPr="00B44B71">
        <w:rPr>
          <w:rFonts w:asciiTheme="majorHAnsi" w:hAnsiTheme="majorHAnsi"/>
          <w:szCs w:val="20"/>
          <w:lang w:val="en-US"/>
        </w:rPr>
        <w:t xml:space="preserve">Evaluate your answer to part a, with respect to;  </w:t>
      </w:r>
    </w:p>
    <w:p w14:paraId="60F9562E" w14:textId="77777777" w:rsidR="00D45277" w:rsidRPr="00B44B71" w:rsidRDefault="00D45277" w:rsidP="00D45277">
      <w:pPr>
        <w:pStyle w:val="ListParagraph"/>
        <w:numPr>
          <w:ilvl w:val="0"/>
          <w:numId w:val="2"/>
        </w:numPr>
        <w:rPr>
          <w:rFonts w:asciiTheme="majorHAnsi" w:hAnsiTheme="majorHAnsi"/>
          <w:szCs w:val="20"/>
          <w:lang w:val="en-US"/>
        </w:rPr>
      </w:pPr>
      <w:r w:rsidRPr="00B44B71">
        <w:rPr>
          <w:rFonts w:asciiTheme="majorHAnsi" w:hAnsiTheme="majorHAnsi"/>
          <w:szCs w:val="20"/>
          <w:lang w:val="en-US"/>
        </w:rPr>
        <w:t xml:space="preserve">Basel III capital adequacy criteria, </w:t>
      </w:r>
    </w:p>
    <w:p w14:paraId="586C010B" w14:textId="77777777" w:rsidR="00D45277" w:rsidRPr="00B44B71" w:rsidRDefault="00D45277" w:rsidP="00D45277">
      <w:pPr>
        <w:pStyle w:val="ListParagraph"/>
        <w:numPr>
          <w:ilvl w:val="0"/>
          <w:numId w:val="2"/>
        </w:numPr>
        <w:rPr>
          <w:rFonts w:asciiTheme="majorHAnsi" w:hAnsiTheme="majorHAnsi"/>
          <w:szCs w:val="20"/>
          <w:lang w:val="en-US"/>
        </w:rPr>
      </w:pPr>
      <w:r w:rsidRPr="00B44B71">
        <w:rPr>
          <w:rFonts w:asciiTheme="majorHAnsi" w:hAnsiTheme="majorHAnsi"/>
          <w:szCs w:val="20"/>
          <w:lang w:val="en-US"/>
        </w:rPr>
        <w:t>Minimum capital requirements for banks in Turkey,</w:t>
      </w:r>
    </w:p>
    <w:p w14:paraId="4270F723" w14:textId="77777777" w:rsidR="00D45277" w:rsidRPr="00B44B71" w:rsidRDefault="00D45277" w:rsidP="00D45277">
      <w:pPr>
        <w:pStyle w:val="ListParagraph"/>
        <w:numPr>
          <w:ilvl w:val="0"/>
          <w:numId w:val="2"/>
        </w:numPr>
        <w:rPr>
          <w:rFonts w:asciiTheme="majorHAnsi" w:hAnsiTheme="majorHAnsi"/>
          <w:szCs w:val="20"/>
          <w:lang w:val="en-US"/>
        </w:rPr>
      </w:pPr>
      <w:r w:rsidRPr="00B44B71">
        <w:rPr>
          <w:rFonts w:asciiTheme="majorHAnsi" w:hAnsiTheme="majorHAnsi"/>
          <w:szCs w:val="20"/>
          <w:lang w:val="en-US"/>
        </w:rPr>
        <w:t>Basel III liquidity coverage criteria.</w:t>
      </w:r>
    </w:p>
    <w:p w14:paraId="02C5C206" w14:textId="47A9AF64" w:rsidR="00D45277" w:rsidRPr="00D45277" w:rsidRDefault="00B44B71" w:rsidP="00B44B71">
      <w:pPr>
        <w:tabs>
          <w:tab w:val="left" w:pos="8175"/>
        </w:tabs>
        <w:rPr>
          <w:b w:val="0"/>
          <w:szCs w:val="20"/>
          <w:lang w:val="en-US"/>
        </w:rPr>
      </w:pPr>
      <w:r>
        <w:rPr>
          <w:b w:val="0"/>
          <w:szCs w:val="20"/>
          <w:lang w:val="en-US"/>
        </w:rPr>
        <w:tab/>
      </w:r>
    </w:p>
    <w:p w14:paraId="77B11E84" w14:textId="77777777" w:rsidR="00D45277" w:rsidRPr="00D45277" w:rsidRDefault="00D45277" w:rsidP="0041061F">
      <w:pPr>
        <w:jc w:val="both"/>
        <w:rPr>
          <w:b w:val="0"/>
          <w:szCs w:val="20"/>
          <w:lang w:val="en-US"/>
        </w:rPr>
      </w:pPr>
    </w:p>
    <w:sectPr w:rsidR="00D45277" w:rsidRPr="00D45277" w:rsidSect="00F641BD">
      <w:pgSz w:w="11900" w:h="16840"/>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A2"/>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57EE6"/>
    <w:multiLevelType w:val="hybridMultilevel"/>
    <w:tmpl w:val="0344B1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77665438"/>
    <w:multiLevelType w:val="hybridMultilevel"/>
    <w:tmpl w:val="C0146EEE"/>
    <w:lvl w:ilvl="0" w:tplc="2D56AF9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1F"/>
    <w:rsid w:val="00076B1B"/>
    <w:rsid w:val="002B7FD6"/>
    <w:rsid w:val="0041061F"/>
    <w:rsid w:val="00445B6C"/>
    <w:rsid w:val="00507F9B"/>
    <w:rsid w:val="00876ED0"/>
    <w:rsid w:val="00A235AF"/>
    <w:rsid w:val="00B44B71"/>
    <w:rsid w:val="00B71AE2"/>
    <w:rsid w:val="00C97651"/>
    <w:rsid w:val="00D45277"/>
    <w:rsid w:val="00F641BD"/>
    <w:rsid w:val="00FA56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A14ED"/>
  <w15:docId w15:val="{F9DB7FBE-8D6E-4FE1-8A09-D7AC1774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ED0"/>
    <w:rPr>
      <w:rFonts w:ascii="Verdana" w:hAnsi="Verdana"/>
      <w:b/>
      <w:sz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277"/>
    <w:pPr>
      <w:spacing w:after="200" w:line="276" w:lineRule="auto"/>
      <w:ind w:left="720"/>
      <w:contextualSpacing/>
    </w:pPr>
    <w:rPr>
      <w:rFonts w:asciiTheme="minorHAnsi" w:eastAsiaTheme="minorHAnsi" w:hAnsiTheme="minorHAnsi"/>
      <w:b w:val="0"/>
      <w:sz w:val="22"/>
      <w:szCs w:val="22"/>
      <w:lang w:eastAsia="en-US"/>
    </w:rPr>
  </w:style>
  <w:style w:type="paragraph" w:styleId="BalloonText">
    <w:name w:val="Balloon Text"/>
    <w:basedOn w:val="Normal"/>
    <w:link w:val="BalloonTextChar"/>
    <w:uiPriority w:val="99"/>
    <w:semiHidden/>
    <w:unhideWhenUsed/>
    <w:rsid w:val="00B4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B71"/>
    <w:rPr>
      <w:rFonts w:ascii="Segoe UI" w:hAnsi="Segoe UI" w:cs="Segoe UI"/>
      <w:b/>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Senver</dc:creator>
  <cp:keywords/>
  <dc:description/>
  <cp:lastModifiedBy>Kaan Senver</cp:lastModifiedBy>
  <cp:revision>3</cp:revision>
  <cp:lastPrinted>2016-06-06T08:04:00Z</cp:lastPrinted>
  <dcterms:created xsi:type="dcterms:W3CDTF">2018-06-21T07:57:00Z</dcterms:created>
  <dcterms:modified xsi:type="dcterms:W3CDTF">2018-06-21T08:06:00Z</dcterms:modified>
</cp:coreProperties>
</file>